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pPr>
      <w:r>
        <w:rPr/>
      </w:r>
    </w:p>
    <w:p>
      <w:pPr>
        <w:pStyle w:val="Normal"/>
        <w:ind w:hanging="0"/>
        <w:jc w:val="center"/>
        <w:rPr/>
      </w:pPr>
      <w:r>
        <w:rPr>
          <w:b/>
        </w:rPr>
        <w:t xml:space="preserve">ТРЕБОВАНИЕ </w:t>
      </w:r>
      <w:r>
        <w:rPr>
          <w:b/>
        </w:rPr>
        <w:t>ПРИЗНАТЬ ВАКЦИНАЦИЮ УГОЛОВНЫМ ПРЕСТУПЛЕНИЕМ</w:t>
      </w:r>
    </w:p>
    <w:p>
      <w:pPr>
        <w:pStyle w:val="Normal"/>
        <w:rPr/>
      </w:pPr>
      <w:r>
        <w:rPr/>
        <w:t>Я, __________________________________________, требую признать вакцинацию 1) мошенничеством, не имеющим ничего общего с иммунопрофилактикой и защитой от заболеваний, 2) средством для уничтожения популяционного иммунитета, 3) биологическим оружием и 4) уголовным преступлением, не имеющим срока давности в связи с ее массовым характером.</w:t>
      </w:r>
    </w:p>
    <w:p>
      <w:pPr>
        <w:pStyle w:val="Normal"/>
        <w:rPr/>
      </w:pPr>
      <w:r>
        <w:rPr/>
        <w:t xml:space="preserve">Идея вакцинации построена на ложной теории инфекционных болезней, выдвинутой Луи Пастером. Эта теория была полностью фальсифицирована, о чем Луи Пастер писал в своих дневниках, которые были </w:t>
      </w:r>
      <w:r>
        <w:rPr/>
        <w:t xml:space="preserve">опубликованы в 1993 году </w:t>
      </w:r>
      <w:r>
        <w:rPr/>
        <w:t>профессором</w:t>
      </w:r>
      <w:r>
        <w:rPr/>
        <w:t xml:space="preserve"> Герард</w:t>
      </w:r>
      <w:r>
        <w:rPr/>
        <w:t>ом</w:t>
      </w:r>
      <w:r>
        <w:rPr/>
        <w:t xml:space="preserve"> Гайсон</w:t>
      </w:r>
      <w:r>
        <w:rPr/>
        <w:t>ом. Он опубликовал</w:t>
      </w:r>
      <w:r>
        <w:rPr/>
        <w:t xml:space="preserve"> на английском языке </w:t>
      </w:r>
      <w:r>
        <w:rPr/>
        <w:t xml:space="preserve">книгу </w:t>
      </w:r>
      <w:r>
        <w:rPr/>
        <w:t xml:space="preserve">«Тайная наука Луи Пастера», </w:t>
      </w:r>
      <w:r>
        <w:rPr/>
        <w:t>откуда</w:t>
      </w:r>
      <w:r>
        <w:rPr/>
        <w:t xml:space="preserve"> стало </w:t>
      </w:r>
      <w:r>
        <w:rPr/>
        <w:t>известно</w:t>
      </w:r>
      <w:r>
        <w:rPr/>
        <w:t xml:space="preserve"> в каких масштабах Пастер сфальсифицировал свои опыты. </w:t>
      </w:r>
      <w:r>
        <w:rPr/>
        <w:t>Затем эту идею подхватил Девид Рокфеллер и сделал вакцинацию частью аллопатической медицины исключительно с целью коммерческой выгоды. Сегодня эта идея используется как средство для сокращения численности населения мира группой международных преступников, организовавших проект «COVID-19», в числе которых находятся Клаус Шваб, семейство Рокфеллеров, Билл Гейтс, Джорж Сорос, семейство Барухов и Ротшильдов и другие преступники.</w:t>
      </w:r>
    </w:p>
    <w:p>
      <w:pPr>
        <w:pStyle w:val="Normal"/>
        <w:rPr/>
      </w:pPr>
      <w:r>
        <w:rPr/>
        <w:t xml:space="preserve">Учитывая этот факт, можно уверенно сказать, что вакцинация построенная на сфальсифицированной теории инфекционных болезней является мошенничеством и не имеет к иммунопрофилактике никакого отношения. Кроме этого она является средством разрушения здоровья. </w:t>
      </w:r>
      <w:r>
        <w:rPr/>
        <w:t>Подтверждением того, что вакцины наносят тяжкий вред здоровью и смертельно опасны, служит перечень поствакцинальных осложнений, который подтвержден целым рядом медицинских исследований, в ряду этих осложнений находится инвалидизация и летальный исход. Поэтому вакцинация не может являться средством иммун</w:t>
      </w:r>
      <w:r>
        <w:rPr/>
        <w:t>опрофилактики</w:t>
      </w:r>
      <w:r>
        <w:rPr/>
        <w:t>.</w:t>
      </w:r>
    </w:p>
    <w:p>
      <w:pPr>
        <w:pStyle w:val="Normal"/>
        <w:rPr/>
      </w:pPr>
      <w:r>
        <w:rPr/>
        <w:t xml:space="preserve">Что касается вакцины по отношению к коронавирусу, ее разработка является мошенничеством, сокрытием информации об обстоятельствах, создающих опасность для жизни и здоровья людей (ст. УК РФ 237), и подготовкой к особо тяжкому преступлению (ст.ст. УК РФ 30 и 33), поскольку вирус «новой короновирусной инфекции» до сих пор не был выделен, </w:t>
      </w:r>
      <w:r>
        <w:rPr/>
        <w:t xml:space="preserve">что следует из документа </w:t>
      </w:r>
      <w:r>
        <w:rPr/>
        <w:t xml:space="preserve"> под названием “CDC 2019-Novel Coronavirus (2019-nCoV) Real-Time RT-PCR Diagnostic Panel” </w:t>
      </w:r>
      <w:r>
        <w:rPr/>
        <w:t>(</w:t>
      </w:r>
      <w:r>
        <w:rPr/>
        <w:t>“CDC 2019-Новый коронавирус (2019-nCoV) Диагностическая панель ОТ-ПЦР в реальном времени”</w:t>
      </w:r>
      <w:r>
        <w:rPr/>
        <w:t>)</w:t>
      </w:r>
      <w:r>
        <w:rPr/>
        <w:t xml:space="preserve">, датированном 13 июля 2020 года. </w:t>
      </w:r>
    </w:p>
    <w:p>
      <w:pPr>
        <w:pStyle w:val="Normal"/>
        <w:rPr/>
      </w:pPr>
      <w:r>
        <w:rPr/>
        <w:t xml:space="preserve">Ссылка: </w:t>
      </w:r>
      <w:hyperlink r:id="rId2">
        <w:r>
          <w:rPr>
            <w:rStyle w:val="Style10"/>
          </w:rPr>
          <w:t>https://www.fda.gov/media/134922/download?fbclid=IwAR3LUze08-BK2DKvCjoRTkG934Qmh3k7UuVfVkSXGamCt8Grt1LANYQyoQY</w:t>
        </w:r>
      </w:hyperlink>
    </w:p>
    <w:p>
      <w:pPr>
        <w:pStyle w:val="Normal"/>
        <w:rPr/>
      </w:pPr>
      <w:r>
        <w:rPr/>
      </w:r>
    </w:p>
    <w:p>
      <w:pPr>
        <w:pStyle w:val="Normal"/>
        <w:rPr/>
      </w:pPr>
      <w:r>
        <w:rPr/>
        <w:t>Н</w:t>
      </w:r>
      <w:r>
        <w:rPr/>
        <w:t xml:space="preserve">а странице 39, в разделе “Performance Characteristics”, “Рабочие характеристики” CDC сообщает: « Since no quantified virus isolates of the 2019-nCoV are currently available, assays designed for detection of the 2019-nCoV RNA were tested with characterized stocks of in vitro transcribed full length RNA (N gene; GenBank accession: MN908947.2) of known titer.....» </w:t>
      </w:r>
    </w:p>
    <w:p>
      <w:pPr>
        <w:pStyle w:val="Normal"/>
        <w:rPr/>
      </w:pPr>
      <w:r>
        <w:rPr/>
        <w:t xml:space="preserve">«Поскольку </w:t>
      </w:r>
      <w:r>
        <w:rPr>
          <w:b/>
          <w:bCs/>
        </w:rPr>
        <w:t>количественные изоляты вируса 2019-nCoV в настоящее время недоступны</w:t>
      </w:r>
      <w:r>
        <w:rPr/>
        <w:t xml:space="preserve">, анализы, предназначенные для обнаружения РНК 2019-nCoV, были протестированы с использованием охарактеризованных запасов полноразмерной РНК, транскрибированной in vitro (ген N; доступ в GenBank: MN908947.2) с уже известным титром...». </w:t>
      </w:r>
      <w:r>
        <w:rPr/>
        <w:t xml:space="preserve">В переводе на бытовой язык это означает : «У нас НЕТ ВЫДЕЛЕННОГО ВИРУСА». </w:t>
      </w:r>
    </w:p>
    <w:p>
      <w:pPr>
        <w:pStyle w:val="Normal"/>
        <w:rPr/>
      </w:pPr>
      <w:r>
        <w:rPr/>
        <w:t xml:space="preserve">Поскольку выделенного образца вируса нет, что на апрель 2021 года зафиксировано множеством лабораторий мира, не может быть никакой речи о вакцине по отношению к нему. Даже если принять сфальсифицированную теорию инфекционных болезней, то даже в этом случае невозможно создать вакцину по отношению к возбудителю, которого не существует. </w:t>
      </w:r>
      <w:r>
        <w:rPr/>
        <w:t xml:space="preserve">Более того, предлагаемая вакцина Спутник-5 является «векторной» и предполагает вмешательство в геном человека. Поскольку векторные вакцины являются средством для генетического редактирования, последствия которого в данном случае неизвестны, они в принципе не являются вакцинами. </w:t>
      </w:r>
      <w:r>
        <w:rPr>
          <w:b/>
          <w:bCs/>
        </w:rPr>
        <w:t xml:space="preserve">Их можно считать не просто экспериментом </w:t>
      </w:r>
      <w:r>
        <w:rPr>
          <w:b/>
          <w:bCs/>
        </w:rPr>
        <w:t>над людьми</w:t>
      </w:r>
      <w:r>
        <w:rPr>
          <w:b/>
          <w:bCs/>
        </w:rPr>
        <w:t>, а генетическим оружием</w:t>
      </w:r>
      <w:r>
        <w:rPr/>
        <w:t>.</w:t>
      </w:r>
    </w:p>
    <w:p>
      <w:pPr>
        <w:pStyle w:val="Normal"/>
        <w:rPr/>
      </w:pPr>
      <w:r>
        <w:rPr/>
        <w:t xml:space="preserve">Таким образом разработка, производство, накопление, приобретение или сбыт вакцин фактически является разработкой, производством и распространением </w:t>
      </w:r>
      <w:r>
        <w:rPr/>
        <w:t xml:space="preserve">генетического, </w:t>
      </w:r>
      <w:r>
        <w:rPr/>
        <w:t>химического, биологического, токсинного вида оружия массового поражения, в чем усматриваются признаки преступления по ст. 355 УК РФ.</w:t>
      </w:r>
    </w:p>
    <w:p>
      <w:pPr>
        <w:pStyle w:val="Normal"/>
        <w:rPr/>
      </w:pPr>
      <w:r>
        <w:rPr/>
        <w:t xml:space="preserve">Поскольку вакцинация фактически является применением биологического оружия она должна быть запрещена, как способ убийства под прикрытием медицинской необходимости. В этом смысле массовая вакцинация является оружием для ведения агрессивной войны и преступлением против мира, что содержит в себе признаки состава преступления, предусмотренного ст. 353 УК РФ. </w:t>
      </w:r>
    </w:p>
    <w:p>
      <w:pPr>
        <w:pStyle w:val="Normal"/>
        <w:rPr/>
      </w:pPr>
      <w:r>
        <w:rPr/>
        <w:t>Действия, направленные на полное или частичное уничтожение национальной, этнической, расовой группы (в данном случае по признаку гражданства России) как таковой путем убийства членов этой группы, причинения тяжкого вреда их здоровью, насильственного воспрепятствования деторождению, рассчитанных на физическое уничтожение членов этой группы, содержат признаки преступления по ст. 357 УК РФ «Геноцид».</w:t>
      </w:r>
    </w:p>
    <w:p>
      <w:pPr>
        <w:pStyle w:val="Normal"/>
        <w:rPr/>
      </w:pPr>
      <w:r>
        <w:rPr/>
      </w:r>
    </w:p>
    <w:p>
      <w:pPr>
        <w:pStyle w:val="Normal"/>
        <w:rPr/>
      </w:pPr>
      <w:r>
        <w:rPr>
          <w:b/>
          <w:bCs/>
        </w:rPr>
        <w:t>На основании вышеизложенного ТРЕБУЮ</w:t>
      </w:r>
      <w:r>
        <w:rPr/>
        <w:t>:</w:t>
      </w:r>
    </w:p>
    <w:p>
      <w:pPr>
        <w:pStyle w:val="Normal"/>
        <w:rPr/>
      </w:pPr>
      <w:r>
        <w:rPr/>
        <w:t xml:space="preserve">1. </w:t>
      </w:r>
      <w:r>
        <w:rPr/>
        <w:t>ПРИЗНАТЬ ВАКЦИНАЦИЮ УГОЛОВНЫМ ПРЕСТУПЛЕНИЕМ</w:t>
      </w:r>
      <w:r>
        <w:rPr/>
        <w:t xml:space="preserve">: мошенничеством </w:t>
      </w:r>
      <w:r>
        <w:rPr/>
        <w:t xml:space="preserve">в особо крупных размерах, </w:t>
      </w:r>
      <w:r>
        <w:rPr/>
        <w:t>нанесени</w:t>
      </w:r>
      <w:r>
        <w:rPr/>
        <w:t>ем</w:t>
      </w:r>
      <w:r>
        <w:rPr/>
        <w:t xml:space="preserve"> тяжкого вреда здоровью, попыткой убийства,  биологическим оружием, ведением агрессивной войны и средством геноцида.</w:t>
      </w:r>
    </w:p>
    <w:p>
      <w:pPr>
        <w:pStyle w:val="Normal"/>
        <w:rPr/>
      </w:pPr>
      <w:r>
        <w:rPr/>
        <w:t>2. Запретить позиционирование вакцинации как средства иммунопрофилактики.</w:t>
      </w:r>
    </w:p>
    <w:p>
      <w:pPr>
        <w:pStyle w:val="Normal"/>
        <w:rPr/>
      </w:pPr>
      <w:r>
        <w:rPr/>
        <w:t>3. Запретить проведение вакцинации в любых формах и под любыми предлогами.</w:t>
      </w:r>
    </w:p>
    <w:p>
      <w:pPr>
        <w:pStyle w:val="Normal"/>
        <w:rPr/>
      </w:pPr>
      <w:r>
        <w:rPr/>
        <w:t>4. Запретить распространение информации о наличии коронавирусной инфекции, расценивать любую информацию о ней как оказание помощи иностранному государству, организации или частному лицу против безопасности Российской Федерации и ее граждан (УК РФ ст. 275 «Государственная измена»).</w:t>
      </w:r>
    </w:p>
    <w:p>
      <w:pPr>
        <w:pStyle w:val="Normal"/>
        <w:rPr/>
      </w:pPr>
      <w:r>
        <w:rPr/>
      </w:r>
    </w:p>
    <w:p>
      <w:pPr>
        <w:pStyle w:val="Normal"/>
        <w:rPr/>
      </w:pPr>
      <w:r>
        <w:rPr/>
      </w:r>
    </w:p>
    <w:p>
      <w:pPr>
        <w:pStyle w:val="2"/>
        <w:rPr/>
      </w:pPr>
      <w:r>
        <w:rPr>
          <w:color w:val="3399FF"/>
        </w:rPr>
        <w:t>Веерная рассылка по следующим адресам</w:t>
      </w:r>
      <w:r>
        <w:rPr/>
        <w:t>:</w:t>
      </w:r>
    </w:p>
    <w:p>
      <w:pPr>
        <w:pStyle w:val="Normal"/>
        <w:rPr/>
      </w:pPr>
      <w:r>
        <w:rPr>
          <w:b/>
          <w:bCs/>
        </w:rPr>
        <w:t>1.  Президент РФ</w:t>
      </w:r>
    </w:p>
    <w:p>
      <w:pPr>
        <w:pStyle w:val="Normal"/>
        <w:rPr/>
      </w:pPr>
      <w:r>
        <w:rPr/>
        <w:t>Интернет-приемная на имя Путина Владимира Владимировича</w:t>
      </w:r>
    </w:p>
    <w:p>
      <w:pPr>
        <w:pStyle w:val="Normal"/>
        <w:rPr/>
      </w:pPr>
      <w:hyperlink r:id="rId3">
        <w:r>
          <w:rPr>
            <w:rStyle w:val="Style13"/>
          </w:rPr>
          <w:t>http://letters.kremlin.ru/</w:t>
        </w:r>
      </w:hyperlink>
    </w:p>
    <w:p>
      <w:pPr>
        <w:pStyle w:val="Normal"/>
        <w:rPr/>
      </w:pPr>
      <w:r>
        <w:rPr/>
      </w:r>
    </w:p>
    <w:p>
      <w:pPr>
        <w:pStyle w:val="Normal"/>
        <w:rPr/>
      </w:pPr>
      <w:r>
        <w:rPr>
          <w:b/>
          <w:bCs/>
        </w:rPr>
        <w:t>2. Государственная Дума</w:t>
      </w:r>
    </w:p>
    <w:p>
      <w:pPr>
        <w:pStyle w:val="Normal"/>
        <w:rPr/>
      </w:pPr>
      <w:r>
        <w:rPr/>
        <w:t>Электронная почта stateduma@duma.gov.ru</w:t>
      </w:r>
    </w:p>
    <w:p>
      <w:pPr>
        <w:pStyle w:val="Normal"/>
        <w:rPr/>
      </w:pPr>
      <w:r>
        <w:rPr/>
        <w:t xml:space="preserve">Интернет приемная ГосДумы </w:t>
      </w:r>
    </w:p>
    <w:p>
      <w:pPr>
        <w:pStyle w:val="Normal"/>
        <w:rPr/>
      </w:pPr>
      <w:hyperlink r:id="rId4">
        <w:r>
          <w:rPr>
            <w:rStyle w:val="Style13"/>
          </w:rPr>
          <w:t>https://priemnaya.duma.gov.ru/ru/message/index.php</w:t>
        </w:r>
      </w:hyperlink>
    </w:p>
    <w:p>
      <w:pPr>
        <w:pStyle w:val="Normal"/>
        <w:rPr/>
      </w:pPr>
      <w:r>
        <w:rPr/>
      </w:r>
    </w:p>
    <w:p>
      <w:pPr>
        <w:pStyle w:val="Normal"/>
        <w:rPr/>
      </w:pPr>
      <w:r>
        <w:rPr/>
        <w:t>На имя Володина, Николаева, а  также на имя каждого депутата, которого вы  хотите уведомить. Депутатам можно также отправлять сообщения в комментариях через их аккаунты в Инстаграм.</w:t>
      </w:r>
    </w:p>
    <w:p>
      <w:pPr>
        <w:pStyle w:val="Normal"/>
        <w:rPr/>
      </w:pPr>
      <w:r>
        <w:rPr/>
      </w:r>
    </w:p>
    <w:p>
      <w:pPr>
        <w:pStyle w:val="Normal"/>
        <w:rPr/>
      </w:pPr>
      <w:r>
        <w:rPr>
          <w:b/>
          <w:bCs/>
        </w:rPr>
        <w:t>3. Правительство России</w:t>
      </w:r>
      <w:r>
        <w:rPr/>
        <w:t xml:space="preserve"> </w:t>
      </w:r>
    </w:p>
    <w:p>
      <w:pPr>
        <w:pStyle w:val="Normal"/>
        <w:rPr/>
      </w:pPr>
      <w:r>
        <w:rPr/>
        <w:t>Интернет-приемная на имя Мишустина Михаила Владимировича</w:t>
      </w:r>
    </w:p>
    <w:p>
      <w:pPr>
        <w:pStyle w:val="Normal"/>
        <w:rPr/>
      </w:pPr>
      <w:r>
        <w:rPr/>
        <w:t>И вице-премьера Голиковой Т.А.</w:t>
      </w:r>
    </w:p>
    <w:p>
      <w:pPr>
        <w:pStyle w:val="Normal"/>
        <w:rPr/>
      </w:pPr>
      <w:hyperlink r:id="rId5">
        <w:r>
          <w:rPr>
            <w:rStyle w:val="Style13"/>
          </w:rPr>
          <w:t>http://services.government.ru/letters/</w:t>
        </w:r>
      </w:hyperlink>
    </w:p>
    <w:p>
      <w:pPr>
        <w:pStyle w:val="Normal"/>
        <w:rPr/>
      </w:pPr>
      <w:r>
        <w:rPr/>
      </w:r>
    </w:p>
    <w:p>
      <w:pPr>
        <w:pStyle w:val="Normal"/>
        <w:rPr/>
      </w:pPr>
      <w:r>
        <w:rPr>
          <w:b/>
          <w:bCs/>
        </w:rPr>
        <w:t>4. Совет Федерации</w:t>
      </w:r>
      <w:r>
        <w:rPr/>
        <w:t xml:space="preserve"> </w:t>
      </w:r>
    </w:p>
    <w:p>
      <w:pPr>
        <w:pStyle w:val="Normal"/>
        <w:rPr/>
      </w:pPr>
      <w:r>
        <w:rPr/>
        <w:t>Интернет-приемная на имя Матвиенко</w:t>
      </w:r>
    </w:p>
    <w:p>
      <w:pPr>
        <w:pStyle w:val="Normal"/>
        <w:rPr/>
      </w:pPr>
      <w:hyperlink r:id="rId6">
        <w:r>
          <w:rPr>
            <w:rStyle w:val="Style13"/>
          </w:rPr>
          <w:t>http://council.gov.ru/services/messages/</w:t>
        </w:r>
      </w:hyperlink>
    </w:p>
    <w:p>
      <w:pPr>
        <w:pStyle w:val="Normal"/>
        <w:rPr/>
      </w:pPr>
      <w:r>
        <w:rPr/>
      </w:r>
    </w:p>
    <w:p>
      <w:pPr>
        <w:pStyle w:val="Normal"/>
        <w:rPr/>
      </w:pPr>
      <w:r>
        <w:rPr>
          <w:b/>
          <w:bCs/>
        </w:rPr>
        <w:t>5. Генеральная прокуратура РФ</w:t>
      </w:r>
    </w:p>
    <w:p>
      <w:pPr>
        <w:pStyle w:val="Normal"/>
        <w:rPr/>
      </w:pPr>
      <w:r>
        <w:rPr/>
        <w:t>Интрнет-приемная на имя Краснова Игоря Викторовича</w:t>
      </w:r>
    </w:p>
    <w:p>
      <w:pPr>
        <w:pStyle w:val="Normal"/>
        <w:rPr/>
      </w:pPr>
      <w:hyperlink r:id="rId7">
        <w:r>
          <w:rPr>
            <w:rStyle w:val="Style13"/>
          </w:rPr>
          <w:t>https://ipriem.genproc.gov.ru/contacts/ipriem/</w:t>
        </w:r>
      </w:hyperlink>
    </w:p>
    <w:p>
      <w:pPr>
        <w:pStyle w:val="Normal"/>
        <w:rPr/>
      </w:pPr>
      <w:r>
        <w:rPr/>
      </w:r>
    </w:p>
    <w:p>
      <w:pPr>
        <w:pStyle w:val="Normal"/>
        <w:rPr/>
      </w:pPr>
      <w:r>
        <w:rPr>
          <w:b/>
          <w:bCs/>
        </w:rPr>
        <w:t>6. ФСБ РФ</w:t>
      </w:r>
    </w:p>
    <w:p>
      <w:pPr>
        <w:pStyle w:val="Normal"/>
        <w:rPr/>
      </w:pPr>
      <w:r>
        <w:rPr/>
        <w:t xml:space="preserve">Интрнет-приемная на имя директора ФСБ РФ Бортникову Александру Васильевичу </w:t>
      </w:r>
      <w:hyperlink r:id="rId8">
        <w:r>
          <w:rPr>
            <w:rStyle w:val="Style13"/>
          </w:rPr>
          <w:t>http://www.fsb.ru/fsb/webreception.htm</w:t>
        </w:r>
      </w:hyperlink>
    </w:p>
    <w:p>
      <w:pPr>
        <w:pStyle w:val="Normal"/>
        <w:rPr/>
      </w:pPr>
      <w:r>
        <w:rPr/>
      </w:r>
    </w:p>
    <w:p>
      <w:pPr>
        <w:pStyle w:val="Normal"/>
        <w:rPr/>
      </w:pPr>
      <w:r>
        <w:rPr>
          <w:b/>
          <w:bCs/>
        </w:rPr>
        <w:t>7. Следственный Комитет РФ</w:t>
      </w:r>
    </w:p>
    <w:p>
      <w:pPr>
        <w:pStyle w:val="Normal"/>
        <w:rPr/>
      </w:pPr>
      <w:r>
        <w:rPr/>
        <w:t xml:space="preserve">Интрнет-приемная на имя председателя СК РФ Бастрыкина Александра Ивановича </w:t>
      </w:r>
      <w:hyperlink r:id="rId9">
        <w:r>
          <w:rPr>
            <w:rStyle w:val="Style13"/>
          </w:rPr>
          <w:t>https://sledcom.ru/reception</w:t>
        </w:r>
      </w:hyperlink>
    </w:p>
    <w:p>
      <w:pPr>
        <w:pStyle w:val="Normal"/>
        <w:rPr/>
      </w:pPr>
      <w:r>
        <w:rPr/>
      </w:r>
    </w:p>
    <w:p>
      <w:pPr>
        <w:pStyle w:val="Normal"/>
        <w:rPr/>
      </w:pPr>
      <w:r>
        <w:rPr>
          <w:b/>
          <w:bCs/>
        </w:rPr>
        <w:t>8. МВД</w:t>
      </w:r>
    </w:p>
    <w:p>
      <w:pPr>
        <w:pStyle w:val="Normal"/>
        <w:rPr/>
      </w:pPr>
      <w:r>
        <w:rPr/>
        <w:t>На имя министра внутренних дел Колокольцева Владимира Александровича</w:t>
      </w:r>
    </w:p>
    <w:p>
      <w:pPr>
        <w:pStyle w:val="Normal"/>
        <w:rPr/>
      </w:pPr>
      <w:r>
        <w:rPr/>
        <w:t xml:space="preserve">Интернет-приемная </w:t>
      </w:r>
      <w:hyperlink r:id="rId10">
        <w:r>
          <w:rPr>
            <w:rStyle w:val="Style10"/>
          </w:rPr>
          <w:t>https://xn--b1aew.xn--p1ai/request_main</w:t>
        </w:r>
      </w:hyperlink>
    </w:p>
    <w:p>
      <w:pPr>
        <w:pStyle w:val="Normal"/>
        <w:rPr/>
      </w:pPr>
      <w:r>
        <w:rPr/>
      </w:r>
    </w:p>
    <w:p>
      <w:pPr>
        <w:pStyle w:val="Normal"/>
        <w:rPr/>
      </w:pPr>
      <w:r>
        <w:rPr>
          <w:b/>
          <w:bCs/>
        </w:rPr>
        <w:t>9.Уполномоченный по правам человека в Российской Федерации</w:t>
      </w:r>
    </w:p>
    <w:p>
      <w:pPr>
        <w:pStyle w:val="Normal"/>
        <w:rPr/>
      </w:pPr>
      <w:r>
        <w:rPr/>
        <w:t>Татьяна Николаевна Москалькова</w:t>
      </w:r>
    </w:p>
    <w:p>
      <w:pPr>
        <w:pStyle w:val="Normal"/>
        <w:rPr/>
      </w:pPr>
      <w:r>
        <w:rPr/>
        <w:t xml:space="preserve">Электронная почта </w:t>
      </w:r>
      <w:hyperlink r:id="rId11">
        <w:r>
          <w:rPr>
            <w:rStyle w:val="Style10"/>
          </w:rPr>
          <w:t>doc@rightsrf.ru</w:t>
        </w:r>
      </w:hyperlink>
    </w:p>
    <w:sectPr>
      <w:footerReference w:type="default" r:id="rId12"/>
      <w:type w:val="nextPage"/>
      <w:pgSz w:w="12240" w:h="15840"/>
      <w:pgMar w:left="1418" w:right="851" w:header="0" w:top="1134" w:footer="72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081234943"/>
    </w:sdtPr>
    <w:sdtContent>
      <w:p>
        <w:pPr>
          <w:pStyle w:val="Style19"/>
          <w:jc w:val="right"/>
          <w:rPr/>
        </w:pPr>
        <w:r>
          <w:rPr/>
          <w:fldChar w:fldCharType="begin"/>
        </w:r>
        <w:r>
          <w:instrText> PAGE </w:instrText>
        </w:r>
        <w:r>
          <w:fldChar w:fldCharType="separate"/>
        </w:r>
        <w:r>
          <w:t>4</w:t>
        </w:r>
        <w:r>
          <w:fldChar w:fldCharType="end"/>
        </w:r>
      </w:p>
    </w:sdtContent>
  </w:sdt>
  <w:p>
    <w:pPr>
      <w:pStyle w:val="Style19"/>
      <w:ind w:right="360" w:firstLine="709"/>
      <w:rPr/>
    </w:pPr>
    <w:r>
      <w:rPr/>
    </w:r>
  </w:p>
</w:ft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ind w:firstLine="709"/>
      <w:jc w:val="both"/>
    </w:pPr>
    <w:rPr>
      <w:rFonts w:ascii="Times New Roman" w:hAnsi="Times New Roman" w:eastAsia="SimSun" w:cs="Calibri"/>
      <w:color w:val="00000A"/>
      <w:sz w:val="28"/>
      <w:szCs w:val="24"/>
      <w:lang w:val="ru-RU" w:eastAsia="ar-SA" w:bidi="ar-SA"/>
    </w:rPr>
  </w:style>
  <w:style w:type="paragraph" w:styleId="1">
    <w:name w:val="Заголовок 1"/>
    <w:basedOn w:val="Normal"/>
    <w:qFormat/>
    <w:pPr>
      <w:keepNext/>
      <w:spacing w:before="240" w:after="60"/>
      <w:jc w:val="center"/>
      <w:outlineLvl w:val="0"/>
    </w:pPr>
    <w:rPr>
      <w:rFonts w:ascii="Arial" w:hAnsi="Arial" w:eastAsia="Times New Roman" w:cs="Arial"/>
      <w:b/>
      <w:bCs/>
      <w:sz w:val="34"/>
      <w:szCs w:val="32"/>
      <w:lang w:val="uk-UA"/>
    </w:rPr>
  </w:style>
  <w:style w:type="paragraph" w:styleId="2">
    <w:name w:val="Заголовок 2"/>
    <w:basedOn w:val="Normal"/>
    <w:qFormat/>
    <w:pPr>
      <w:keepNext/>
      <w:keepLines/>
      <w:spacing w:before="40" w:after="0"/>
      <w:outlineLvl w:val="1"/>
    </w:pPr>
    <w:rPr>
      <w:rFonts w:ascii="Calibri" w:hAnsi="Calibri" w:cs="font1422"/>
      <w:b/>
      <w:color w:val="000000"/>
      <w:sz w:val="32"/>
      <w:szCs w:val="26"/>
    </w:rPr>
  </w:style>
  <w:style w:type="paragraph" w:styleId="3">
    <w:name w:val="Заголовок 3"/>
    <w:basedOn w:val="Style14"/>
    <w:pPr/>
    <w:rPr/>
  </w:style>
  <w:style w:type="paragraph" w:styleId="4">
    <w:name w:val="Заголовок 4"/>
    <w:basedOn w:val="Normal"/>
    <w:link w:val="40"/>
    <w:uiPriority w:val="9"/>
    <w:semiHidden/>
    <w:unhideWhenUsed/>
    <w:qFormat/>
    <w:rsid w:val="005e60c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4"/>
      <w:szCs w:val="32"/>
      <w:lang w:val="uk-UA"/>
    </w:rPr>
  </w:style>
  <w:style w:type="character" w:styleId="21" w:customStyle="1">
    <w:name w:val="Заголовок 2 Знак"/>
    <w:qFormat/>
    <w:rPr>
      <w:rFonts w:cs="font1422"/>
      <w:b/>
      <w:color w:val="000000"/>
      <w:sz w:val="32"/>
      <w:szCs w:val="26"/>
    </w:rPr>
  </w:style>
  <w:style w:type="character" w:styleId="Style10">
    <w:name w:val="Интернет-ссылка"/>
    <w:rPr>
      <w:color w:val="0563C1"/>
      <w:u w:val="single"/>
    </w:rPr>
  </w:style>
  <w:style w:type="character" w:styleId="13" w:customStyle="1">
    <w:name w:val="Неразрешенное упоминание1"/>
    <w:qFormat/>
    <w:rPr>
      <w:color w:val="605E5C"/>
    </w:rPr>
  </w:style>
  <w:style w:type="character" w:styleId="14" w:customStyle="1">
    <w:name w:val="Просмотренная гиперссылка1"/>
    <w:qFormat/>
    <w:rPr>
      <w:color w:val="954F72"/>
      <w:u w:val="single"/>
    </w:rPr>
  </w:style>
  <w:style w:type="character" w:styleId="FollowedHyperlink">
    <w:name w:val="FollowedHyperlink"/>
    <w:qFormat/>
    <w:rPr>
      <w:color w:val="800000"/>
      <w:u w:val="single"/>
    </w:rPr>
  </w:style>
  <w:style w:type="character" w:styleId="Style11" w:customStyle="1">
    <w:name w:val="Символ нумерации"/>
    <w:qFormat/>
    <w:rPr/>
  </w:style>
  <w:style w:type="character" w:styleId="22" w:customStyle="1">
    <w:name w:val="Неразрешенное упоминание2"/>
    <w:uiPriority w:val="99"/>
    <w:semiHidden/>
    <w:unhideWhenUsed/>
    <w:qFormat/>
    <w:rsid w:val="0003364e"/>
    <w:rPr>
      <w:color w:val="605E5C"/>
      <w:shd w:fill="E1DFDD" w:val="clear"/>
    </w:rPr>
  </w:style>
  <w:style w:type="character" w:styleId="41" w:customStyle="1">
    <w:name w:val="Заголовок 4 Знак"/>
    <w:basedOn w:val="DefaultParagraphFont"/>
    <w:link w:val="4"/>
    <w:uiPriority w:val="9"/>
    <w:semiHidden/>
    <w:qFormat/>
    <w:rsid w:val="005e60cd"/>
    <w:rPr>
      <w:rFonts w:ascii="Calibri Light" w:hAnsi="Calibri Light" w:eastAsia="" w:cs="" w:asciiTheme="majorHAnsi" w:cstheme="majorBidi" w:eastAsiaTheme="majorEastAsia" w:hAnsiTheme="majorHAnsi"/>
      <w:i/>
      <w:iCs/>
      <w:color w:val="2F5496" w:themeColor="accent1" w:themeShade="bf"/>
      <w:sz w:val="28"/>
      <w:szCs w:val="24"/>
      <w:lang w:eastAsia="ar-SA"/>
    </w:rPr>
  </w:style>
  <w:style w:type="character" w:styleId="UnresolvedMention">
    <w:name w:val="Unresolved Mention"/>
    <w:basedOn w:val="DefaultParagraphFont"/>
    <w:uiPriority w:val="99"/>
    <w:semiHidden/>
    <w:unhideWhenUsed/>
    <w:qFormat/>
    <w:rsid w:val="006e687f"/>
    <w:rPr>
      <w:color w:val="605E5C"/>
      <w:shd w:fill="E1DFDD" w:val="clear"/>
    </w:rPr>
  </w:style>
  <w:style w:type="character" w:styleId="Style12" w:customStyle="1">
    <w:name w:val="Нижний колонтитул Знак"/>
    <w:basedOn w:val="DefaultParagraphFont"/>
    <w:link w:val="aa"/>
    <w:uiPriority w:val="99"/>
    <w:qFormat/>
    <w:rsid w:val="009c067f"/>
    <w:rPr>
      <w:rFonts w:eastAsia="SimSun" w:cs="Calibri"/>
      <w:sz w:val="28"/>
      <w:szCs w:val="24"/>
      <w:lang w:eastAsia="ar-SA"/>
    </w:rPr>
  </w:style>
  <w:style w:type="character" w:styleId="Pagenumber">
    <w:name w:val="page number"/>
    <w:basedOn w:val="DefaultParagraphFont"/>
    <w:uiPriority w:val="99"/>
    <w:semiHidden/>
    <w:unhideWhenUsed/>
    <w:qFormat/>
    <w:rsid w:val="009c067f"/>
    <w:rPr/>
  </w:style>
  <w:style w:type="character" w:styleId="Style13">
    <w:name w:val="Посещённая гиперссылка"/>
    <w:rPr>
      <w:color w:val="800000"/>
      <w:u w:val="single"/>
      <w:lang w:val="zxx" w:eastAsia="zxx" w:bidi="zxx"/>
    </w:rPr>
  </w:style>
  <w:style w:type="paragraph" w:styleId="Style14">
    <w:name w:val="Заголовок"/>
    <w:basedOn w:val="Normal"/>
    <w:next w:val="Style15"/>
    <w:qFormat/>
    <w:pPr>
      <w:keepNext/>
      <w:spacing w:before="240" w:after="120"/>
    </w:pPr>
    <w:rPr>
      <w:rFonts w:ascii="Arial" w:hAnsi="Arial" w:eastAsia="Arial" w:cs="Arial"/>
      <w:sz w:val="28"/>
      <w:szCs w:val="28"/>
    </w:rPr>
  </w:style>
  <w:style w:type="paragraph" w:styleId="Style15">
    <w:name w:val="Основной текст"/>
    <w:basedOn w:val="Normal"/>
    <w:pPr>
      <w:spacing w:before="0" w:after="12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15" w:customStyle="1">
    <w:name w:val="Заголовок1"/>
    <w:basedOn w:val="Normal"/>
    <w:qFormat/>
    <w:pPr>
      <w:keepNext/>
      <w:spacing w:before="240" w:after="120"/>
    </w:pPr>
    <w:rPr>
      <w:rFonts w:ascii="Arial" w:hAnsi="Arial" w:cs="Lucida Sans"/>
      <w:szCs w:val="28"/>
    </w:rPr>
  </w:style>
  <w:style w:type="paragraph" w:styleId="16" w:customStyle="1">
    <w:name w:val="Название1"/>
    <w:basedOn w:val="Normal"/>
    <w:qFormat/>
    <w:pPr>
      <w:suppressLineNumbers/>
      <w:spacing w:before="120" w:after="120"/>
    </w:pPr>
    <w:rPr>
      <w:rFonts w:cs="Lucida Sans"/>
      <w:i/>
      <w:iCs/>
      <w:sz w:val="24"/>
    </w:rPr>
  </w:style>
  <w:style w:type="paragraph" w:styleId="17" w:customStyle="1">
    <w:name w:val="Указатель1"/>
    <w:basedOn w:val="Normal"/>
    <w:qFormat/>
    <w:pPr>
      <w:suppressLineNumbers/>
    </w:pPr>
    <w:rPr>
      <w:rFonts w:cs="Lucida Sans"/>
    </w:rPr>
  </w:style>
  <w:style w:type="paragraph" w:styleId="ListParagraph">
    <w:name w:val="List Paragraph"/>
    <w:basedOn w:val="Normal"/>
    <w:uiPriority w:val="34"/>
    <w:qFormat/>
    <w:rsid w:val="005e60cd"/>
    <w:pPr>
      <w:spacing w:before="0" w:after="0"/>
      <w:ind w:left="720" w:firstLine="709"/>
      <w:contextualSpacing/>
    </w:pPr>
    <w:rPr/>
  </w:style>
  <w:style w:type="paragraph" w:styleId="Standard" w:customStyle="1">
    <w:name w:val="Standard"/>
    <w:qFormat/>
    <w:rsid w:val="00ca73df"/>
    <w:pPr>
      <w:widowControl/>
      <w:suppressAutoHyphens w:val="true"/>
      <w:bidi w:val="0"/>
      <w:ind w:firstLine="709"/>
      <w:jc w:val="both"/>
      <w:textAlignment w:val="baseline"/>
    </w:pPr>
    <w:rPr>
      <w:rFonts w:ascii="Times New Roman" w:hAnsi="Times New Roman" w:eastAsia="SimSun" w:cs="Calibri"/>
      <w:color w:val="00000A"/>
      <w:sz w:val="28"/>
      <w:szCs w:val="24"/>
      <w:lang w:val="ru-RU" w:eastAsia="en-US" w:bidi="ar-SA"/>
    </w:rPr>
  </w:style>
  <w:style w:type="paragraph" w:styleId="Style19">
    <w:name w:val="Нижний колонтитул"/>
    <w:basedOn w:val="Normal"/>
    <w:link w:val="ab"/>
    <w:uiPriority w:val="99"/>
    <w:unhideWhenUsed/>
    <w:rsid w:val="009c067f"/>
    <w:pPr>
      <w:tabs>
        <w:tab w:val="center" w:pos="4677" w:leader="none"/>
        <w:tab w:val="right" w:pos="9355" w:leader="none"/>
      </w:tabs>
    </w:pPr>
    <w:rPr/>
  </w:style>
  <w:style w:type="paragraph" w:styleId="Style20">
    <w:name w:val="Блочная цитата"/>
    <w:basedOn w:val="Normal"/>
    <w:qFormat/>
    <w:pPr/>
    <w:rPr/>
  </w:style>
  <w:style w:type="paragraph" w:styleId="Style21">
    <w:name w:val="Заглавие"/>
    <w:basedOn w:val="Style14"/>
    <w:pPr/>
    <w:rPr/>
  </w:style>
  <w:style w:type="paragraph" w:styleId="Style22">
    <w:name w:val="Подзаголовок"/>
    <w:basedOn w:val="Style14"/>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da.gov/media/134922/download?fbclid=IwAR3LUze08-BK2DKvCjoRTkG934Qmh3k7UuVfVkSXGamCt8Grt1LANYQyoQY" TargetMode="External"/><Relationship Id="rId3" Type="http://schemas.openxmlformats.org/officeDocument/2006/relationships/hyperlink" Target="http://letters.kremlin.ru/" TargetMode="External"/><Relationship Id="rId4" Type="http://schemas.openxmlformats.org/officeDocument/2006/relationships/hyperlink" Target="https://priemnaya.duma.gov.ru/ru/message/index.php" TargetMode="External"/><Relationship Id="rId5" Type="http://schemas.openxmlformats.org/officeDocument/2006/relationships/hyperlink" Target="http://services.government.ru/letters/" TargetMode="External"/><Relationship Id="rId6" Type="http://schemas.openxmlformats.org/officeDocument/2006/relationships/hyperlink" Target="http://council.gov.ru/services/messages/" TargetMode="External"/><Relationship Id="rId7" Type="http://schemas.openxmlformats.org/officeDocument/2006/relationships/hyperlink" Target="https://ipriem.genproc.gov.ru/contacts/ipriem/" TargetMode="External"/><Relationship Id="rId8" Type="http://schemas.openxmlformats.org/officeDocument/2006/relationships/hyperlink" Target="http://www.fsb.ru/fsb/webreception.htm" TargetMode="External"/><Relationship Id="rId9" Type="http://schemas.openxmlformats.org/officeDocument/2006/relationships/hyperlink" Target="https://sledcom.ru/reception" TargetMode="External"/><Relationship Id="rId10" Type="http://schemas.openxmlformats.org/officeDocument/2006/relationships/hyperlink" Target="https://xn--b1aew.xn--p1ai/request_main" TargetMode="External"/><Relationship Id="rId11" Type="http://schemas.openxmlformats.org/officeDocument/2006/relationships/hyperlink" Target="mailto:doc@rightsrf.r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NeoOffice/2017.23$MacOSX_X86_64 NeoOffice_project/0</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2021-04-20T23:46:35Z</dcterms:created>
  <dc:language>ru-RU</dc:languag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